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ettings.xml" ContentType="application/vnd.openxmlformats-officedocument.wordprocessingml.setting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271" w:lineRule="auto" w:before="59"/>
        <w:ind w:left="2429" w:right="2488" w:firstLine="0"/>
        <w:jc w:val="center"/>
        <w:rPr>
          <w:sz w:val="28"/>
        </w:rPr>
      </w:pPr>
      <w:r>
        <w:rPr>
          <w:sz w:val="28"/>
        </w:rPr>
        <w:t>Center</w:t>
      </w:r>
      <w:r>
        <w:rPr>
          <w:spacing w:val="-9"/>
          <w:sz w:val="28"/>
        </w:rPr>
        <w:t> </w:t>
      </w:r>
      <w:r>
        <w:rPr>
          <w:sz w:val="28"/>
        </w:rPr>
        <w:t>for</w:t>
      </w:r>
      <w:r>
        <w:rPr>
          <w:spacing w:val="-7"/>
          <w:sz w:val="28"/>
        </w:rPr>
        <w:t> </w:t>
      </w:r>
      <w:r>
        <w:rPr>
          <w:sz w:val="28"/>
        </w:rPr>
        <w:t>Waterway</w:t>
      </w:r>
      <w:r>
        <w:rPr>
          <w:spacing w:val="-7"/>
          <w:sz w:val="28"/>
        </w:rPr>
        <w:t> </w:t>
      </w:r>
      <w:r>
        <w:rPr>
          <w:sz w:val="28"/>
        </w:rPr>
        <w:t>Improvement</w:t>
      </w:r>
      <w:r>
        <w:rPr>
          <w:spacing w:val="-10"/>
          <w:sz w:val="28"/>
        </w:rPr>
        <w:t> </w:t>
      </w:r>
      <w:r>
        <w:rPr>
          <w:sz w:val="28"/>
        </w:rPr>
        <w:t>&amp;</w:t>
      </w:r>
      <w:r>
        <w:rPr>
          <w:spacing w:val="-8"/>
          <w:sz w:val="28"/>
        </w:rPr>
        <w:t> </w:t>
      </w:r>
      <w:r>
        <w:rPr>
          <w:sz w:val="28"/>
        </w:rPr>
        <w:t>Infrastructure Waterway Improvement Fund</w:t>
      </w:r>
    </w:p>
    <w:p>
      <w:pPr>
        <w:pStyle w:val="Title"/>
        <w:spacing w:line="321" w:lineRule="exact"/>
        <w:ind w:right="2487"/>
      </w:pPr>
      <w:r>
        <w:rPr/>
        <w:t>MATCHING</w:t>
      </w:r>
      <w:r>
        <w:rPr>
          <w:spacing w:val="-7"/>
        </w:rPr>
        <w:t> </w:t>
      </w:r>
      <w:r>
        <w:rPr/>
        <w:t>FUND</w:t>
      </w:r>
      <w:r>
        <w:rPr>
          <w:spacing w:val="-3"/>
        </w:rPr>
        <w:t> </w:t>
      </w:r>
      <w:r>
        <w:rPr/>
        <w:t>FIRE</w:t>
      </w:r>
      <w:r>
        <w:rPr>
          <w:spacing w:val="-8"/>
        </w:rPr>
        <w:t> </w:t>
      </w:r>
      <w:r>
        <w:rPr/>
        <w:t>&amp;</w:t>
      </w:r>
      <w:r>
        <w:rPr>
          <w:spacing w:val="-3"/>
        </w:rPr>
        <w:t> </w:t>
      </w:r>
      <w:r>
        <w:rPr/>
        <w:t>RESCUE</w:t>
      </w:r>
      <w:r>
        <w:rPr>
          <w:spacing w:val="-5"/>
        </w:rPr>
        <w:t> </w:t>
      </w:r>
      <w:r>
        <w:rPr>
          <w:spacing w:val="-2"/>
        </w:rPr>
        <w:t>GRANT</w:t>
      </w:r>
    </w:p>
    <w:p>
      <w:pPr>
        <w:pStyle w:val="Title"/>
        <w:spacing w:before="43"/>
      </w:pPr>
      <w:r>
        <w:rPr/>
        <w:t>(Supplemental</w:t>
      </w:r>
      <w:r>
        <w:rPr>
          <w:spacing w:val="-13"/>
        </w:rPr>
        <w:t> </w:t>
      </w:r>
      <w:r>
        <w:rPr>
          <w:spacing w:val="-2"/>
        </w:rPr>
        <w:t>Attachment)</w:t>
      </w:r>
    </w:p>
    <w:p>
      <w:pPr>
        <w:pStyle w:val="BodyText"/>
        <w:rPr>
          <w:b/>
        </w:rPr>
      </w:pPr>
    </w:p>
    <w:p>
      <w:pPr>
        <w:pStyle w:val="BodyText"/>
        <w:spacing w:before="3"/>
        <w:rPr>
          <w:b/>
          <w:sz w:val="16"/>
        </w:rPr>
      </w:pPr>
    </w:p>
    <w:tbl>
      <w:tblPr>
        <w:tblW w:w="0" w:type="auto"/>
        <w:jc w:val="left"/>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254"/>
        <w:gridCol w:w="5254"/>
      </w:tblGrid>
      <w:tr>
        <w:trPr>
          <w:trHeight w:val="1192" w:hRule="atLeast"/>
        </w:trPr>
        <w:tc>
          <w:tcPr>
            <w:tcW w:w="5254" w:type="dxa"/>
          </w:tcPr>
          <w:p>
            <w:pPr>
              <w:pStyle w:val="TableParagraph"/>
              <w:spacing w:line="242" w:lineRule="exact" w:before="0"/>
              <w:rPr>
                <w:sz w:val="22"/>
              </w:rPr>
            </w:pPr>
            <w:r>
              <w:rPr>
                <w:sz w:val="22"/>
              </w:rPr>
              <w:t>RECIPIENTS</w:t>
            </w:r>
            <w:r>
              <w:rPr>
                <w:spacing w:val="-4"/>
                <w:sz w:val="22"/>
              </w:rPr>
              <w:t> </w:t>
            </w:r>
            <w:r>
              <w:rPr>
                <w:sz w:val="22"/>
              </w:rPr>
              <w:t>NAME</w:t>
            </w:r>
            <w:r>
              <w:rPr>
                <w:spacing w:val="-4"/>
                <w:sz w:val="22"/>
              </w:rPr>
              <w:t> </w:t>
            </w:r>
            <w:r>
              <w:rPr>
                <w:sz w:val="22"/>
              </w:rPr>
              <w:t>AND</w:t>
            </w:r>
            <w:r>
              <w:rPr>
                <w:spacing w:val="-5"/>
                <w:sz w:val="22"/>
              </w:rPr>
              <w:t> </w:t>
            </w:r>
            <w:r>
              <w:rPr>
                <w:spacing w:val="-2"/>
                <w:sz w:val="22"/>
              </w:rPr>
              <w:t>ADDRESS:</w:t>
            </w:r>
          </w:p>
        </w:tc>
        <w:tc>
          <w:tcPr>
            <w:tcW w:w="5254" w:type="dxa"/>
          </w:tcPr>
          <w:p>
            <w:pPr>
              <w:pStyle w:val="TableParagraph"/>
              <w:spacing w:line="242" w:lineRule="exact" w:before="0"/>
              <w:rPr>
                <w:sz w:val="22"/>
              </w:rPr>
            </w:pPr>
            <w:r>
              <w:rPr>
                <w:sz w:val="22"/>
              </w:rPr>
              <w:t>PROJECT</w:t>
            </w:r>
            <w:r>
              <w:rPr>
                <w:spacing w:val="-9"/>
                <w:sz w:val="22"/>
              </w:rPr>
              <w:t> </w:t>
            </w:r>
            <w:r>
              <w:rPr>
                <w:spacing w:val="-2"/>
                <w:sz w:val="22"/>
              </w:rPr>
              <w:t>TITLE:</w:t>
            </w:r>
          </w:p>
        </w:tc>
      </w:tr>
      <w:tr>
        <w:trPr>
          <w:trHeight w:val="414" w:hRule="atLeast"/>
        </w:trPr>
        <w:tc>
          <w:tcPr>
            <w:tcW w:w="5254" w:type="dxa"/>
            <w:vMerge w:val="restart"/>
          </w:tcPr>
          <w:p>
            <w:pPr>
              <w:pStyle w:val="TableParagraph"/>
              <w:spacing w:line="244" w:lineRule="exact" w:before="0"/>
              <w:rPr>
                <w:sz w:val="22"/>
              </w:rPr>
            </w:pPr>
            <w:r>
              <w:rPr>
                <w:sz w:val="22"/>
              </w:rPr>
              <w:t>STATE</w:t>
            </w:r>
            <w:r>
              <w:rPr>
                <w:spacing w:val="-4"/>
                <w:sz w:val="22"/>
              </w:rPr>
              <w:t> </w:t>
            </w:r>
            <w:r>
              <w:rPr>
                <w:sz w:val="22"/>
              </w:rPr>
              <w:t>SHARE</w:t>
            </w:r>
            <w:r>
              <w:rPr>
                <w:spacing w:val="-4"/>
                <w:sz w:val="22"/>
              </w:rPr>
              <w:t> </w:t>
            </w:r>
            <w:r>
              <w:rPr>
                <w:sz w:val="22"/>
              </w:rPr>
              <w:t>OF</w:t>
            </w:r>
            <w:r>
              <w:rPr>
                <w:spacing w:val="-4"/>
                <w:sz w:val="22"/>
              </w:rPr>
              <w:t> COST:</w:t>
            </w:r>
          </w:p>
          <w:p>
            <w:pPr>
              <w:pStyle w:val="TableParagraph"/>
              <w:spacing w:before="44"/>
              <w:rPr>
                <w:sz w:val="22"/>
              </w:rPr>
            </w:pPr>
            <w:r>
              <w:rPr>
                <w:sz w:val="22"/>
              </w:rPr>
              <w:t>(Amount</w:t>
            </w:r>
            <w:r>
              <w:rPr>
                <w:spacing w:val="-4"/>
                <w:sz w:val="22"/>
              </w:rPr>
              <w:t> </w:t>
            </w:r>
            <w:r>
              <w:rPr>
                <w:sz w:val="22"/>
              </w:rPr>
              <w:t>of</w:t>
            </w:r>
            <w:r>
              <w:rPr>
                <w:spacing w:val="-4"/>
                <w:sz w:val="22"/>
              </w:rPr>
              <w:t> </w:t>
            </w:r>
            <w:r>
              <w:rPr>
                <w:sz w:val="22"/>
              </w:rPr>
              <w:t>grant</w:t>
            </w:r>
            <w:r>
              <w:rPr>
                <w:spacing w:val="-3"/>
                <w:sz w:val="22"/>
              </w:rPr>
              <w:t> </w:t>
            </w:r>
            <w:r>
              <w:rPr>
                <w:sz w:val="22"/>
              </w:rPr>
              <w:t>not</w:t>
            </w:r>
            <w:r>
              <w:rPr>
                <w:spacing w:val="-4"/>
                <w:sz w:val="22"/>
              </w:rPr>
              <w:t> </w:t>
            </w:r>
            <w:r>
              <w:rPr>
                <w:sz w:val="22"/>
              </w:rPr>
              <w:t>to</w:t>
            </w:r>
            <w:r>
              <w:rPr>
                <w:spacing w:val="-2"/>
                <w:sz w:val="22"/>
              </w:rPr>
              <w:t> </w:t>
            </w:r>
            <w:r>
              <w:rPr>
                <w:sz w:val="22"/>
              </w:rPr>
              <w:t>exceed</w:t>
            </w:r>
            <w:r>
              <w:rPr>
                <w:spacing w:val="-1"/>
                <w:sz w:val="22"/>
              </w:rPr>
              <w:t> </w:t>
            </w:r>
            <w:r>
              <w:rPr>
                <w:spacing w:val="-2"/>
                <w:sz w:val="22"/>
              </w:rPr>
              <w:t>$80,000)</w:t>
            </w:r>
          </w:p>
        </w:tc>
        <w:tc>
          <w:tcPr>
            <w:tcW w:w="5254" w:type="dxa"/>
          </w:tcPr>
          <w:p>
            <w:pPr>
              <w:pStyle w:val="TableParagraph"/>
              <w:spacing w:line="244" w:lineRule="exact" w:before="0"/>
              <w:rPr>
                <w:sz w:val="22"/>
              </w:rPr>
            </w:pPr>
            <w:r>
              <w:rPr>
                <w:sz w:val="22"/>
              </w:rPr>
              <w:t>RECIPIENTS</w:t>
            </w:r>
            <w:r>
              <w:rPr>
                <w:spacing w:val="-6"/>
                <w:sz w:val="22"/>
              </w:rPr>
              <w:t> </w:t>
            </w:r>
            <w:r>
              <w:rPr>
                <w:sz w:val="22"/>
              </w:rPr>
              <w:t>SHARE</w:t>
            </w:r>
            <w:r>
              <w:rPr>
                <w:spacing w:val="-6"/>
                <w:sz w:val="22"/>
              </w:rPr>
              <w:t> </w:t>
            </w:r>
            <w:r>
              <w:rPr>
                <w:sz w:val="22"/>
              </w:rPr>
              <w:t>OF</w:t>
            </w:r>
            <w:r>
              <w:rPr>
                <w:spacing w:val="-4"/>
                <w:sz w:val="22"/>
              </w:rPr>
              <w:t> </w:t>
            </w:r>
            <w:r>
              <w:rPr>
                <w:spacing w:val="-2"/>
                <w:sz w:val="22"/>
              </w:rPr>
              <w:t>COST:</w:t>
            </w:r>
          </w:p>
        </w:tc>
      </w:tr>
      <w:tr>
        <w:trPr>
          <w:trHeight w:val="383" w:hRule="atLeast"/>
        </w:trPr>
        <w:tc>
          <w:tcPr>
            <w:tcW w:w="5254" w:type="dxa"/>
            <w:vMerge/>
            <w:tcBorders>
              <w:top w:val="nil"/>
            </w:tcBorders>
          </w:tcPr>
          <w:p>
            <w:pPr>
              <w:rPr>
                <w:sz w:val="2"/>
                <w:szCs w:val="2"/>
              </w:rPr>
            </w:pPr>
          </w:p>
        </w:tc>
        <w:tc>
          <w:tcPr>
            <w:tcW w:w="5254" w:type="dxa"/>
          </w:tcPr>
          <w:p>
            <w:pPr>
              <w:pStyle w:val="TableParagraph"/>
              <w:spacing w:line="242" w:lineRule="exact" w:before="0"/>
              <w:rPr>
                <w:sz w:val="22"/>
              </w:rPr>
            </w:pPr>
            <w:r>
              <w:rPr>
                <w:sz w:val="22"/>
              </w:rPr>
              <w:t>TOTAL</w:t>
            </w:r>
            <w:r>
              <w:rPr>
                <w:spacing w:val="-6"/>
                <w:sz w:val="22"/>
              </w:rPr>
              <w:t> </w:t>
            </w:r>
            <w:r>
              <w:rPr>
                <w:sz w:val="22"/>
              </w:rPr>
              <w:t>ESTIMATED</w:t>
            </w:r>
            <w:r>
              <w:rPr>
                <w:spacing w:val="-7"/>
                <w:sz w:val="22"/>
              </w:rPr>
              <w:t> </w:t>
            </w:r>
            <w:r>
              <w:rPr>
                <w:spacing w:val="-4"/>
                <w:sz w:val="22"/>
              </w:rPr>
              <w:t>COST:</w:t>
            </w:r>
          </w:p>
        </w:tc>
      </w:tr>
    </w:tbl>
    <w:p>
      <w:pPr>
        <w:pStyle w:val="BodyText"/>
        <w:spacing w:before="4"/>
        <w:rPr>
          <w:b/>
          <w:sz w:val="9"/>
        </w:rPr>
      </w:pPr>
    </w:p>
    <w:p>
      <w:pPr>
        <w:pStyle w:val="BodyText"/>
        <w:spacing w:line="228" w:lineRule="auto" w:before="100"/>
        <w:ind w:left="227" w:right="352" w:firstLine="720"/>
      </w:pPr>
      <w:r>
        <w:rPr/>
        <w:t>The recipient agrees that this</w:t>
      </w:r>
      <w:r>
        <w:rPr>
          <w:spacing w:val="-1"/>
        </w:rPr>
        <w:t> </w:t>
      </w:r>
      <w:r>
        <w:rPr/>
        <w:t>grant (if awarded) will be utilized only for the purpose specified in Natural Resources Article,</w:t>
      </w:r>
      <w:r>
        <w:rPr>
          <w:spacing w:val="-1"/>
        </w:rPr>
        <w:t> </w:t>
      </w:r>
      <w:r>
        <w:rPr/>
        <w:t>§8-707(a)(8),</w:t>
      </w:r>
      <w:r>
        <w:rPr>
          <w:spacing w:val="-4"/>
        </w:rPr>
        <w:t> </w:t>
      </w:r>
      <w:r>
        <w:rPr/>
        <w:t>Annotated</w:t>
      </w:r>
      <w:r>
        <w:rPr>
          <w:spacing w:val="-1"/>
        </w:rPr>
        <w:t> </w:t>
      </w:r>
      <w:r>
        <w:rPr/>
        <w:t>Code</w:t>
      </w:r>
      <w:r>
        <w:rPr>
          <w:spacing w:val="-2"/>
        </w:rPr>
        <w:t> </w:t>
      </w:r>
      <w:r>
        <w:rPr/>
        <w:t>of</w:t>
      </w:r>
      <w:r>
        <w:rPr>
          <w:spacing w:val="-1"/>
        </w:rPr>
        <w:t> </w:t>
      </w:r>
      <w:r>
        <w:rPr/>
        <w:t>Maryland,</w:t>
      </w:r>
      <w:r>
        <w:rPr>
          <w:spacing w:val="-1"/>
        </w:rPr>
        <w:t> </w:t>
      </w:r>
      <w:r>
        <w:rPr/>
        <w:t>for</w:t>
      </w:r>
      <w:r>
        <w:rPr>
          <w:spacing w:val="-1"/>
        </w:rPr>
        <w:t> </w:t>
      </w:r>
      <w:r>
        <w:rPr/>
        <w:t>the</w:t>
      </w:r>
      <w:r>
        <w:rPr>
          <w:spacing w:val="-4"/>
        </w:rPr>
        <w:t> </w:t>
      </w:r>
      <w:r>
        <w:rPr/>
        <w:t>construction</w:t>
      </w:r>
      <w:r>
        <w:rPr>
          <w:spacing w:val="-3"/>
        </w:rPr>
        <w:t> </w:t>
      </w:r>
      <w:r>
        <w:rPr/>
        <w:t>of</w:t>
      </w:r>
      <w:r>
        <w:rPr>
          <w:spacing w:val="-1"/>
        </w:rPr>
        <w:t> </w:t>
      </w:r>
      <w:r>
        <w:rPr/>
        <w:t>marine</w:t>
      </w:r>
      <w:r>
        <w:rPr>
          <w:spacing w:val="-2"/>
        </w:rPr>
        <w:t> </w:t>
      </w:r>
      <w:r>
        <w:rPr/>
        <w:t>facilities</w:t>
      </w:r>
      <w:r>
        <w:rPr>
          <w:spacing w:val="-3"/>
        </w:rPr>
        <w:t> </w:t>
      </w:r>
      <w:r>
        <w:rPr/>
        <w:t>for</w:t>
      </w:r>
      <w:r>
        <w:rPr>
          <w:spacing w:val="-1"/>
        </w:rPr>
        <w:t> </w:t>
      </w:r>
      <w:r>
        <w:rPr/>
        <w:t>marine</w:t>
      </w:r>
      <w:r>
        <w:rPr>
          <w:spacing w:val="-4"/>
        </w:rPr>
        <w:t> </w:t>
      </w:r>
      <w:r>
        <w:rPr/>
        <w:t>firefighting,</w:t>
      </w:r>
      <w:r>
        <w:rPr>
          <w:spacing w:val="-4"/>
        </w:rPr>
        <w:t> </w:t>
      </w:r>
      <w:r>
        <w:rPr/>
        <w:t>police</w:t>
      </w:r>
      <w:r>
        <w:rPr>
          <w:spacing w:val="-2"/>
        </w:rPr>
        <w:t> </w:t>
      </w:r>
      <w:r>
        <w:rPr/>
        <w:t>or medical</w:t>
      </w:r>
      <w:r>
        <w:rPr>
          <w:spacing w:val="-2"/>
        </w:rPr>
        <w:t> </w:t>
      </w:r>
      <w:r>
        <w:rPr/>
        <w:t>services,</w:t>
      </w:r>
      <w:r>
        <w:rPr>
          <w:spacing w:val="-1"/>
        </w:rPr>
        <w:t> </w:t>
      </w:r>
      <w:r>
        <w:rPr/>
        <w:t>and/or</w:t>
      </w:r>
      <w:r>
        <w:rPr>
          <w:spacing w:val="-4"/>
        </w:rPr>
        <w:t> </w:t>
      </w:r>
      <w:r>
        <w:rPr/>
        <w:t>for</w:t>
      </w:r>
      <w:r>
        <w:rPr>
          <w:spacing w:val="-4"/>
        </w:rPr>
        <w:t> </w:t>
      </w:r>
      <w:r>
        <w:rPr/>
        <w:t>the</w:t>
      </w:r>
      <w:r>
        <w:rPr>
          <w:spacing w:val="-2"/>
        </w:rPr>
        <w:t> </w:t>
      </w:r>
      <w:r>
        <w:rPr/>
        <w:t>acquisition</w:t>
      </w:r>
      <w:r>
        <w:rPr>
          <w:spacing w:val="-1"/>
        </w:rPr>
        <w:t> </w:t>
      </w:r>
      <w:r>
        <w:rPr/>
        <w:t>of</w:t>
      </w:r>
      <w:r>
        <w:rPr>
          <w:spacing w:val="-4"/>
        </w:rPr>
        <w:t> </w:t>
      </w:r>
      <w:r>
        <w:rPr/>
        <w:t>vessels,</w:t>
      </w:r>
      <w:r>
        <w:rPr>
          <w:spacing w:val="-1"/>
        </w:rPr>
        <w:t> </w:t>
      </w:r>
      <w:r>
        <w:rPr/>
        <w:t>and</w:t>
      </w:r>
      <w:r>
        <w:rPr>
          <w:spacing w:val="-1"/>
        </w:rPr>
        <w:t> </w:t>
      </w:r>
      <w:r>
        <w:rPr/>
        <w:t>equipment</w:t>
      </w:r>
      <w:r>
        <w:rPr>
          <w:spacing w:val="-5"/>
        </w:rPr>
        <w:t> </w:t>
      </w:r>
      <w:r>
        <w:rPr/>
        <w:t>for</w:t>
      </w:r>
      <w:r>
        <w:rPr>
          <w:spacing w:val="-4"/>
        </w:rPr>
        <w:t> </w:t>
      </w:r>
      <w:r>
        <w:rPr/>
        <w:t>vessels</w:t>
      </w:r>
      <w:r>
        <w:rPr>
          <w:spacing w:val="-3"/>
        </w:rPr>
        <w:t> </w:t>
      </w:r>
      <w:r>
        <w:rPr/>
        <w:t>for</w:t>
      </w:r>
      <w:r>
        <w:rPr>
          <w:spacing w:val="-1"/>
        </w:rPr>
        <w:t> </w:t>
      </w:r>
      <w:r>
        <w:rPr/>
        <w:t>marine</w:t>
      </w:r>
      <w:r>
        <w:rPr>
          <w:spacing w:val="-2"/>
        </w:rPr>
        <w:t> </w:t>
      </w:r>
      <w:r>
        <w:rPr/>
        <w:t>firefighting,</w:t>
      </w:r>
      <w:r>
        <w:rPr>
          <w:spacing w:val="-1"/>
        </w:rPr>
        <w:t> </w:t>
      </w:r>
      <w:r>
        <w:rPr/>
        <w:t>police,</w:t>
      </w:r>
      <w:r>
        <w:rPr>
          <w:spacing w:val="-1"/>
        </w:rPr>
        <w:t> </w:t>
      </w:r>
      <w:r>
        <w:rPr/>
        <w:t>medical,</w:t>
      </w:r>
      <w:r>
        <w:rPr>
          <w:spacing w:val="-4"/>
        </w:rPr>
        <w:t> </w:t>
      </w:r>
      <w:r>
        <w:rPr/>
        <w:t>and communication equipment for promoting safety of life and property and general service to the boating public utilizing the water of the State of Maryland.</w:t>
      </w:r>
    </w:p>
    <w:p>
      <w:pPr>
        <w:pStyle w:val="BodyText"/>
        <w:spacing w:before="4"/>
        <w:rPr>
          <w:sz w:val="18"/>
        </w:rPr>
      </w:pPr>
    </w:p>
    <w:p>
      <w:pPr>
        <w:pStyle w:val="BodyText"/>
        <w:ind w:left="947"/>
      </w:pPr>
      <w:r>
        <w:rPr/>
        <w:t>The</w:t>
      </w:r>
      <w:r>
        <w:rPr>
          <w:spacing w:val="-5"/>
        </w:rPr>
        <w:t> </w:t>
      </w:r>
      <w:r>
        <w:rPr/>
        <w:t>recipient</w:t>
      </w:r>
      <w:r>
        <w:rPr>
          <w:spacing w:val="-5"/>
        </w:rPr>
        <w:t> </w:t>
      </w:r>
      <w:r>
        <w:rPr/>
        <w:t>further</w:t>
      </w:r>
      <w:r>
        <w:rPr>
          <w:spacing w:val="-6"/>
        </w:rPr>
        <w:t> </w:t>
      </w:r>
      <w:r>
        <w:rPr/>
        <w:t>agrees</w:t>
      </w:r>
      <w:r>
        <w:rPr>
          <w:spacing w:val="-6"/>
        </w:rPr>
        <w:t> </w:t>
      </w:r>
      <w:r>
        <w:rPr/>
        <w:t>to</w:t>
      </w:r>
      <w:r>
        <w:rPr>
          <w:spacing w:val="-6"/>
        </w:rPr>
        <w:t> </w:t>
      </w:r>
      <w:r>
        <w:rPr/>
        <w:t>the</w:t>
      </w:r>
      <w:r>
        <w:rPr>
          <w:spacing w:val="-4"/>
        </w:rPr>
        <w:t> </w:t>
      </w:r>
      <w:r>
        <w:rPr/>
        <w:t>following</w:t>
      </w:r>
      <w:r>
        <w:rPr>
          <w:spacing w:val="-6"/>
        </w:rPr>
        <w:t> </w:t>
      </w:r>
      <w:r>
        <w:rPr>
          <w:spacing w:val="-2"/>
        </w:rPr>
        <w:t>conditions:</w:t>
      </w:r>
    </w:p>
    <w:p>
      <w:pPr>
        <w:pStyle w:val="BodyText"/>
        <w:spacing w:before="9"/>
        <w:rPr>
          <w:sz w:val="18"/>
        </w:rPr>
      </w:pPr>
    </w:p>
    <w:p>
      <w:pPr>
        <w:pStyle w:val="ListParagraph"/>
        <w:numPr>
          <w:ilvl w:val="0"/>
          <w:numId w:val="1"/>
        </w:numPr>
        <w:tabs>
          <w:tab w:pos="1300" w:val="left" w:leader="none"/>
        </w:tabs>
        <w:spacing w:line="228" w:lineRule="auto" w:before="0" w:after="0"/>
        <w:ind w:left="227" w:right="318" w:firstLine="719"/>
        <w:jc w:val="left"/>
        <w:rPr>
          <w:sz w:val="20"/>
        </w:rPr>
      </w:pPr>
      <w:r>
        <w:rPr>
          <w:sz w:val="20"/>
        </w:rPr>
        <w:t>The</w:t>
      </w:r>
      <w:r>
        <w:rPr>
          <w:spacing w:val="-2"/>
          <w:sz w:val="20"/>
        </w:rPr>
        <w:t> </w:t>
      </w:r>
      <w:r>
        <w:rPr>
          <w:sz w:val="20"/>
        </w:rPr>
        <w:t>recipient</w:t>
      </w:r>
      <w:r>
        <w:rPr>
          <w:spacing w:val="-5"/>
          <w:sz w:val="20"/>
        </w:rPr>
        <w:t> </w:t>
      </w:r>
      <w:r>
        <w:rPr>
          <w:sz w:val="20"/>
        </w:rPr>
        <w:t>must</w:t>
      </w:r>
      <w:r>
        <w:rPr>
          <w:spacing w:val="-2"/>
          <w:sz w:val="20"/>
        </w:rPr>
        <w:t> </w:t>
      </w:r>
      <w:r>
        <w:rPr>
          <w:sz w:val="20"/>
        </w:rPr>
        <w:t>be</w:t>
      </w:r>
      <w:r>
        <w:rPr>
          <w:spacing w:val="-2"/>
          <w:sz w:val="20"/>
        </w:rPr>
        <w:t> </w:t>
      </w:r>
      <w:r>
        <w:rPr>
          <w:sz w:val="20"/>
        </w:rPr>
        <w:t>the</w:t>
      </w:r>
      <w:r>
        <w:rPr>
          <w:spacing w:val="-4"/>
          <w:sz w:val="20"/>
        </w:rPr>
        <w:t> </w:t>
      </w:r>
      <w:r>
        <w:rPr>
          <w:sz w:val="20"/>
        </w:rPr>
        <w:t>local</w:t>
      </w:r>
      <w:r>
        <w:rPr>
          <w:spacing w:val="-2"/>
          <w:sz w:val="20"/>
        </w:rPr>
        <w:t> </w:t>
      </w:r>
      <w:r>
        <w:rPr>
          <w:sz w:val="20"/>
        </w:rPr>
        <w:t>governing</w:t>
      </w:r>
      <w:r>
        <w:rPr>
          <w:spacing w:val="-3"/>
          <w:sz w:val="20"/>
        </w:rPr>
        <w:t> </w:t>
      </w:r>
      <w:r>
        <w:rPr>
          <w:sz w:val="20"/>
        </w:rPr>
        <w:t>body</w:t>
      </w:r>
      <w:r>
        <w:rPr>
          <w:spacing w:val="-1"/>
          <w:sz w:val="20"/>
        </w:rPr>
        <w:t> </w:t>
      </w:r>
      <w:r>
        <w:rPr>
          <w:sz w:val="20"/>
        </w:rPr>
        <w:t>of</w:t>
      </w:r>
      <w:r>
        <w:rPr>
          <w:spacing w:val="-1"/>
          <w:sz w:val="20"/>
        </w:rPr>
        <w:t> </w:t>
      </w:r>
      <w:r>
        <w:rPr>
          <w:sz w:val="20"/>
        </w:rPr>
        <w:t>any</w:t>
      </w:r>
      <w:r>
        <w:rPr>
          <w:spacing w:val="-3"/>
          <w:sz w:val="20"/>
        </w:rPr>
        <w:t> </w:t>
      </w:r>
      <w:r>
        <w:rPr>
          <w:sz w:val="20"/>
        </w:rPr>
        <w:t>county</w:t>
      </w:r>
      <w:r>
        <w:rPr>
          <w:spacing w:val="-3"/>
          <w:sz w:val="20"/>
        </w:rPr>
        <w:t> </w:t>
      </w:r>
      <w:r>
        <w:rPr>
          <w:sz w:val="20"/>
        </w:rPr>
        <w:t>or</w:t>
      </w:r>
      <w:r>
        <w:rPr>
          <w:spacing w:val="-1"/>
          <w:sz w:val="20"/>
        </w:rPr>
        <w:t> </w:t>
      </w:r>
      <w:r>
        <w:rPr>
          <w:sz w:val="20"/>
        </w:rPr>
        <w:t>municipality</w:t>
      </w:r>
      <w:r>
        <w:rPr>
          <w:spacing w:val="-1"/>
          <w:sz w:val="20"/>
        </w:rPr>
        <w:t> </w:t>
      </w:r>
      <w:r>
        <w:rPr>
          <w:sz w:val="20"/>
        </w:rPr>
        <w:t>in</w:t>
      </w:r>
      <w:r>
        <w:rPr>
          <w:spacing w:val="-1"/>
          <w:sz w:val="20"/>
        </w:rPr>
        <w:t> </w:t>
      </w:r>
      <w:r>
        <w:rPr>
          <w:sz w:val="20"/>
        </w:rPr>
        <w:t>the</w:t>
      </w:r>
      <w:r>
        <w:rPr>
          <w:spacing w:val="-2"/>
          <w:sz w:val="20"/>
        </w:rPr>
        <w:t> </w:t>
      </w:r>
      <w:r>
        <w:rPr>
          <w:sz w:val="20"/>
        </w:rPr>
        <w:t>State</w:t>
      </w:r>
      <w:r>
        <w:rPr>
          <w:spacing w:val="-2"/>
          <w:sz w:val="20"/>
        </w:rPr>
        <w:t> </w:t>
      </w:r>
      <w:r>
        <w:rPr>
          <w:sz w:val="20"/>
        </w:rPr>
        <w:t>of</w:t>
      </w:r>
      <w:r>
        <w:rPr>
          <w:spacing w:val="-1"/>
          <w:sz w:val="20"/>
        </w:rPr>
        <w:t> </w:t>
      </w:r>
      <w:r>
        <w:rPr>
          <w:sz w:val="20"/>
        </w:rPr>
        <w:t>Maryland,</w:t>
      </w:r>
      <w:r>
        <w:rPr>
          <w:spacing w:val="-1"/>
          <w:sz w:val="20"/>
        </w:rPr>
        <w:t> </w:t>
      </w:r>
      <w:r>
        <w:rPr>
          <w:sz w:val="20"/>
        </w:rPr>
        <w:t>as</w:t>
      </w:r>
      <w:r>
        <w:rPr>
          <w:spacing w:val="-3"/>
          <w:sz w:val="20"/>
        </w:rPr>
        <w:t> </w:t>
      </w:r>
      <w:r>
        <w:rPr>
          <w:sz w:val="20"/>
        </w:rPr>
        <w:t>defined in Natural Resources Article, §8-701(d), unless otherwise authorized by the local governing body.</w:t>
      </w:r>
    </w:p>
    <w:p>
      <w:pPr>
        <w:pStyle w:val="BodyText"/>
        <w:spacing w:before="11"/>
        <w:rPr>
          <w:sz w:val="18"/>
        </w:rPr>
      </w:pPr>
    </w:p>
    <w:p>
      <w:pPr>
        <w:pStyle w:val="BodyText"/>
        <w:spacing w:line="228" w:lineRule="auto"/>
        <w:ind w:left="227" w:right="352" w:firstLine="1440"/>
      </w:pPr>
      <w:r>
        <w:rPr/>
        <w:t>1(a).</w:t>
      </w:r>
      <w:r>
        <w:rPr>
          <w:spacing w:val="80"/>
          <w:w w:val="150"/>
        </w:rPr>
        <w:t> </w:t>
      </w:r>
      <w:r>
        <w:rPr/>
        <w:t>The</w:t>
      </w:r>
      <w:r>
        <w:rPr>
          <w:spacing w:val="-3"/>
        </w:rPr>
        <w:t> </w:t>
      </w:r>
      <w:r>
        <w:rPr/>
        <w:t>local</w:t>
      </w:r>
      <w:r>
        <w:rPr>
          <w:spacing w:val="-6"/>
        </w:rPr>
        <w:t> </w:t>
      </w:r>
      <w:r>
        <w:rPr/>
        <w:t>governing</w:t>
      </w:r>
      <w:r>
        <w:rPr>
          <w:spacing w:val="-2"/>
        </w:rPr>
        <w:t> </w:t>
      </w:r>
      <w:r>
        <w:rPr/>
        <w:t>body</w:t>
      </w:r>
      <w:r>
        <w:rPr>
          <w:spacing w:val="-2"/>
        </w:rPr>
        <w:t> </w:t>
      </w:r>
      <w:r>
        <w:rPr/>
        <w:t>authorizes</w:t>
      </w:r>
      <w:r>
        <w:rPr>
          <w:spacing w:val="-4"/>
        </w:rPr>
        <w:t> </w:t>
      </w:r>
      <w:r>
        <w:rPr/>
        <w:t>the</w:t>
      </w:r>
      <w:r>
        <w:rPr>
          <w:spacing w:val="-3"/>
        </w:rPr>
        <w:t> </w:t>
      </w:r>
      <w:r>
        <w:rPr/>
        <w:t>following</w:t>
      </w:r>
      <w:r>
        <w:rPr>
          <w:spacing w:val="-2"/>
        </w:rPr>
        <w:t> </w:t>
      </w:r>
      <w:r>
        <w:rPr/>
        <w:t>Volunteer</w:t>
      </w:r>
      <w:r>
        <w:rPr>
          <w:spacing w:val="-2"/>
        </w:rPr>
        <w:t> </w:t>
      </w:r>
      <w:r>
        <w:rPr/>
        <w:t>Fire</w:t>
      </w:r>
      <w:r>
        <w:rPr>
          <w:spacing w:val="-3"/>
        </w:rPr>
        <w:t> </w:t>
      </w:r>
      <w:r>
        <w:rPr/>
        <w:t>Department/Emergency</w:t>
      </w:r>
      <w:r>
        <w:rPr>
          <w:spacing w:val="-2"/>
        </w:rPr>
        <w:t> </w:t>
      </w:r>
      <w:r>
        <w:rPr/>
        <w:t>Response Organization to apply for State Waterway Improvement Fund grant for the project identified above:</w:t>
      </w:r>
    </w:p>
    <w:p>
      <w:pPr>
        <w:pStyle w:val="BodyText"/>
      </w:pPr>
    </w:p>
    <w:p>
      <w:pPr>
        <w:pStyle w:val="BodyText"/>
        <w:spacing w:before="3"/>
        <w:rPr>
          <w:sz w:val="14"/>
        </w:rPr>
      </w:pPr>
      <w:r>
        <w:rPr/>
        <mc:AlternateContent>
          <mc:Choice Requires="wps">
            <w:drawing>
              <wp:anchor distT="0" distB="0" distL="0" distR="0" allowOverlap="1" layoutInCell="1" locked="0" behindDoc="1" simplePos="0" relativeHeight="487587840">
                <wp:simplePos x="0" y="0"/>
                <wp:positionH relativeFrom="page">
                  <wp:posOffset>640080</wp:posOffset>
                </wp:positionH>
                <wp:positionV relativeFrom="paragraph">
                  <wp:posOffset>119562</wp:posOffset>
                </wp:positionV>
                <wp:extent cx="6400800" cy="6350"/>
                <wp:effectExtent l="0" t="0" r="0" b="0"/>
                <wp:wrapTopAndBottom/>
                <wp:docPr id="1" name="Graphic 1"/>
                <wp:cNvGraphicFramePr>
                  <a:graphicFrameLocks/>
                </wp:cNvGraphicFramePr>
                <a:graphic>
                  <a:graphicData uri="http://schemas.microsoft.com/office/word/2010/wordprocessingShape">
                    <wps:wsp>
                      <wps:cNvPr id="1" name="Graphic 1"/>
                      <wps:cNvSpPr/>
                      <wps:spPr>
                        <a:xfrm>
                          <a:off x="0" y="0"/>
                          <a:ext cx="6400800" cy="6350"/>
                        </a:xfrm>
                        <a:custGeom>
                          <a:avLst/>
                          <a:gdLst/>
                          <a:ahLst/>
                          <a:cxnLst/>
                          <a:rect l="l" t="t" r="r" b="b"/>
                          <a:pathLst>
                            <a:path w="6400800" h="6350">
                              <a:moveTo>
                                <a:pt x="6400800" y="0"/>
                              </a:moveTo>
                              <a:lnTo>
                                <a:pt x="0" y="0"/>
                              </a:lnTo>
                              <a:lnTo>
                                <a:pt x="0" y="6096"/>
                              </a:lnTo>
                              <a:lnTo>
                                <a:pt x="6400800" y="6096"/>
                              </a:lnTo>
                              <a:lnTo>
                                <a:pt x="6400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0.400002pt;margin-top:9.414379pt;width:504pt;height:.48pt;mso-position-horizontal-relative:page;mso-position-vertical-relative:paragraph;z-index:-15728640;mso-wrap-distance-left:0;mso-wrap-distance-right:0" id="docshape1" filled="true" fillcolor="#000000" stroked="false">
                <v:fill type="solid"/>
                <w10:wrap type="topAndBottom"/>
              </v:rect>
            </w:pict>
          </mc:Fallback>
        </mc:AlternateContent>
      </w:r>
    </w:p>
    <w:p>
      <w:pPr>
        <w:pStyle w:val="BodyText"/>
        <w:spacing w:before="1"/>
        <w:rPr>
          <w:sz w:val="11"/>
        </w:rPr>
      </w:pPr>
    </w:p>
    <w:p>
      <w:pPr>
        <w:pStyle w:val="ListParagraph"/>
        <w:numPr>
          <w:ilvl w:val="0"/>
          <w:numId w:val="1"/>
        </w:numPr>
        <w:tabs>
          <w:tab w:pos="1300" w:val="left" w:leader="none"/>
        </w:tabs>
        <w:spacing w:line="228" w:lineRule="auto" w:before="100" w:after="0"/>
        <w:ind w:left="227" w:right="649" w:firstLine="719"/>
        <w:jc w:val="left"/>
        <w:rPr>
          <w:sz w:val="20"/>
        </w:rPr>
      </w:pPr>
      <w:r>
        <w:rPr>
          <w:sz w:val="20"/>
        </w:rPr>
        <w:t>The</w:t>
      </w:r>
      <w:r>
        <w:rPr>
          <w:spacing w:val="-3"/>
          <w:sz w:val="20"/>
        </w:rPr>
        <w:t> </w:t>
      </w:r>
      <w:r>
        <w:rPr>
          <w:sz w:val="20"/>
        </w:rPr>
        <w:t>ownership,</w:t>
      </w:r>
      <w:r>
        <w:rPr>
          <w:spacing w:val="-2"/>
          <w:sz w:val="20"/>
        </w:rPr>
        <w:t> </w:t>
      </w:r>
      <w:r>
        <w:rPr>
          <w:sz w:val="20"/>
        </w:rPr>
        <w:t>operation,</w:t>
      </w:r>
      <w:r>
        <w:rPr>
          <w:spacing w:val="-5"/>
          <w:sz w:val="20"/>
        </w:rPr>
        <w:t> </w:t>
      </w:r>
      <w:r>
        <w:rPr>
          <w:sz w:val="20"/>
        </w:rPr>
        <w:t>and</w:t>
      </w:r>
      <w:r>
        <w:rPr>
          <w:spacing w:val="-2"/>
          <w:sz w:val="20"/>
        </w:rPr>
        <w:t> </w:t>
      </w:r>
      <w:r>
        <w:rPr>
          <w:sz w:val="20"/>
        </w:rPr>
        <w:t>maintenance</w:t>
      </w:r>
      <w:r>
        <w:rPr>
          <w:spacing w:val="-3"/>
          <w:sz w:val="20"/>
        </w:rPr>
        <w:t> </w:t>
      </w:r>
      <w:r>
        <w:rPr>
          <w:sz w:val="20"/>
        </w:rPr>
        <w:t>of</w:t>
      </w:r>
      <w:r>
        <w:rPr>
          <w:spacing w:val="-2"/>
          <w:sz w:val="20"/>
        </w:rPr>
        <w:t> </w:t>
      </w:r>
      <w:r>
        <w:rPr>
          <w:sz w:val="20"/>
        </w:rPr>
        <w:t>any</w:t>
      </w:r>
      <w:r>
        <w:rPr>
          <w:spacing w:val="-4"/>
          <w:sz w:val="20"/>
        </w:rPr>
        <w:t> </w:t>
      </w:r>
      <w:r>
        <w:rPr>
          <w:sz w:val="20"/>
        </w:rPr>
        <w:t>facility,</w:t>
      </w:r>
      <w:r>
        <w:rPr>
          <w:spacing w:val="-2"/>
          <w:sz w:val="20"/>
        </w:rPr>
        <w:t> </w:t>
      </w:r>
      <w:r>
        <w:rPr>
          <w:sz w:val="20"/>
        </w:rPr>
        <w:t>vessel</w:t>
      </w:r>
      <w:r>
        <w:rPr>
          <w:spacing w:val="-3"/>
          <w:sz w:val="20"/>
        </w:rPr>
        <w:t> </w:t>
      </w:r>
      <w:r>
        <w:rPr>
          <w:sz w:val="20"/>
        </w:rPr>
        <w:t>or</w:t>
      </w:r>
      <w:r>
        <w:rPr>
          <w:spacing w:val="-2"/>
          <w:sz w:val="20"/>
        </w:rPr>
        <w:t> </w:t>
      </w:r>
      <w:r>
        <w:rPr>
          <w:sz w:val="20"/>
        </w:rPr>
        <w:t>equipment</w:t>
      </w:r>
      <w:r>
        <w:rPr>
          <w:spacing w:val="-3"/>
          <w:sz w:val="20"/>
        </w:rPr>
        <w:t> </w:t>
      </w:r>
      <w:r>
        <w:rPr>
          <w:sz w:val="20"/>
        </w:rPr>
        <w:t>acquired</w:t>
      </w:r>
      <w:r>
        <w:rPr>
          <w:spacing w:val="-2"/>
          <w:sz w:val="20"/>
        </w:rPr>
        <w:t> </w:t>
      </w:r>
      <w:r>
        <w:rPr>
          <w:sz w:val="20"/>
        </w:rPr>
        <w:t>with</w:t>
      </w:r>
      <w:r>
        <w:rPr>
          <w:spacing w:val="-2"/>
          <w:sz w:val="20"/>
        </w:rPr>
        <w:t> </w:t>
      </w:r>
      <w:r>
        <w:rPr>
          <w:sz w:val="20"/>
        </w:rPr>
        <w:t>funds</w:t>
      </w:r>
      <w:r>
        <w:rPr>
          <w:spacing w:val="-4"/>
          <w:sz w:val="20"/>
        </w:rPr>
        <w:t> </w:t>
      </w:r>
      <w:r>
        <w:rPr>
          <w:sz w:val="20"/>
        </w:rPr>
        <w:t>from</w:t>
      </w:r>
      <w:r>
        <w:rPr>
          <w:spacing w:val="-4"/>
          <w:sz w:val="20"/>
        </w:rPr>
        <w:t> </w:t>
      </w:r>
      <w:r>
        <w:rPr>
          <w:sz w:val="20"/>
        </w:rPr>
        <w:t>this grant shall be the responsibility of the grant recipient.</w:t>
      </w:r>
    </w:p>
    <w:p>
      <w:pPr>
        <w:pStyle w:val="BodyText"/>
        <w:rPr>
          <w:sz w:val="19"/>
        </w:rPr>
      </w:pPr>
    </w:p>
    <w:p>
      <w:pPr>
        <w:pStyle w:val="ListParagraph"/>
        <w:numPr>
          <w:ilvl w:val="0"/>
          <w:numId w:val="1"/>
        </w:numPr>
        <w:tabs>
          <w:tab w:pos="1300" w:val="left" w:leader="none"/>
        </w:tabs>
        <w:spacing w:line="218" w:lineRule="auto" w:before="0" w:after="0"/>
        <w:ind w:left="227" w:right="284" w:firstLine="719"/>
        <w:jc w:val="left"/>
        <w:rPr>
          <w:sz w:val="20"/>
        </w:rPr>
      </w:pPr>
      <w:r>
        <w:rPr>
          <w:sz w:val="20"/>
        </w:rPr>
        <w:t>If</w:t>
      </w:r>
      <w:r>
        <w:rPr>
          <w:spacing w:val="-2"/>
          <w:sz w:val="20"/>
        </w:rPr>
        <w:t> </w:t>
      </w:r>
      <w:r>
        <w:rPr>
          <w:sz w:val="20"/>
        </w:rPr>
        <w:t>the</w:t>
      </w:r>
      <w:r>
        <w:rPr>
          <w:spacing w:val="-3"/>
          <w:sz w:val="20"/>
        </w:rPr>
        <w:t> </w:t>
      </w:r>
      <w:r>
        <w:rPr>
          <w:sz w:val="20"/>
        </w:rPr>
        <w:t>recipient</w:t>
      </w:r>
      <w:r>
        <w:rPr>
          <w:spacing w:val="-3"/>
          <w:sz w:val="20"/>
        </w:rPr>
        <w:t> </w:t>
      </w:r>
      <w:r>
        <w:rPr>
          <w:sz w:val="20"/>
        </w:rPr>
        <w:t>ceases</w:t>
      </w:r>
      <w:r>
        <w:rPr>
          <w:spacing w:val="-4"/>
          <w:sz w:val="20"/>
        </w:rPr>
        <w:t> </w:t>
      </w:r>
      <w:r>
        <w:rPr>
          <w:sz w:val="20"/>
        </w:rPr>
        <w:t>to</w:t>
      </w:r>
      <w:r>
        <w:rPr>
          <w:spacing w:val="-2"/>
          <w:sz w:val="20"/>
        </w:rPr>
        <w:t> </w:t>
      </w:r>
      <w:r>
        <w:rPr>
          <w:sz w:val="20"/>
        </w:rPr>
        <w:t>own</w:t>
      </w:r>
      <w:r>
        <w:rPr>
          <w:spacing w:val="-2"/>
          <w:sz w:val="20"/>
        </w:rPr>
        <w:t> </w:t>
      </w:r>
      <w:r>
        <w:rPr>
          <w:sz w:val="20"/>
        </w:rPr>
        <w:t>any</w:t>
      </w:r>
      <w:r>
        <w:rPr>
          <w:spacing w:val="-2"/>
          <w:sz w:val="20"/>
        </w:rPr>
        <w:t> </w:t>
      </w:r>
      <w:r>
        <w:rPr>
          <w:sz w:val="20"/>
        </w:rPr>
        <w:t>vessel</w:t>
      </w:r>
      <w:r>
        <w:rPr>
          <w:spacing w:val="-3"/>
          <w:sz w:val="20"/>
        </w:rPr>
        <w:t> </w:t>
      </w:r>
      <w:r>
        <w:rPr>
          <w:sz w:val="20"/>
        </w:rPr>
        <w:t>or</w:t>
      </w:r>
      <w:r>
        <w:rPr>
          <w:spacing w:val="-2"/>
          <w:sz w:val="20"/>
        </w:rPr>
        <w:t> </w:t>
      </w:r>
      <w:r>
        <w:rPr>
          <w:sz w:val="20"/>
        </w:rPr>
        <w:t>equipment</w:t>
      </w:r>
      <w:r>
        <w:rPr>
          <w:spacing w:val="-3"/>
          <w:sz w:val="20"/>
        </w:rPr>
        <w:t> </w:t>
      </w:r>
      <w:r>
        <w:rPr>
          <w:sz w:val="20"/>
        </w:rPr>
        <w:t>acquired</w:t>
      </w:r>
      <w:r>
        <w:rPr>
          <w:spacing w:val="-2"/>
          <w:sz w:val="20"/>
        </w:rPr>
        <w:t> </w:t>
      </w:r>
      <w:r>
        <w:rPr>
          <w:sz w:val="20"/>
        </w:rPr>
        <w:t>with</w:t>
      </w:r>
      <w:r>
        <w:rPr>
          <w:spacing w:val="-4"/>
          <w:sz w:val="20"/>
        </w:rPr>
        <w:t> </w:t>
      </w:r>
      <w:r>
        <w:rPr>
          <w:sz w:val="20"/>
        </w:rPr>
        <w:t>funds</w:t>
      </w:r>
      <w:r>
        <w:rPr>
          <w:spacing w:val="-4"/>
          <w:sz w:val="20"/>
        </w:rPr>
        <w:t> </w:t>
      </w:r>
      <w:r>
        <w:rPr>
          <w:sz w:val="20"/>
        </w:rPr>
        <w:t>from</w:t>
      </w:r>
      <w:r>
        <w:rPr>
          <w:spacing w:val="-2"/>
          <w:sz w:val="20"/>
        </w:rPr>
        <w:t> </w:t>
      </w:r>
      <w:r>
        <w:rPr>
          <w:sz w:val="20"/>
        </w:rPr>
        <w:t>this</w:t>
      </w:r>
      <w:r>
        <w:rPr>
          <w:spacing w:val="-4"/>
          <w:sz w:val="20"/>
        </w:rPr>
        <w:t> </w:t>
      </w:r>
      <w:r>
        <w:rPr>
          <w:sz w:val="20"/>
        </w:rPr>
        <w:t>grant,</w:t>
      </w:r>
      <w:r>
        <w:rPr>
          <w:spacing w:val="-2"/>
          <w:sz w:val="20"/>
        </w:rPr>
        <w:t> </w:t>
      </w:r>
      <w:r>
        <w:rPr>
          <w:sz w:val="20"/>
        </w:rPr>
        <w:t>the</w:t>
      </w:r>
      <w:r>
        <w:rPr>
          <w:spacing w:val="-3"/>
          <w:sz w:val="20"/>
        </w:rPr>
        <w:t> </w:t>
      </w:r>
      <w:r>
        <w:rPr>
          <w:sz w:val="20"/>
        </w:rPr>
        <w:t>grant</w:t>
      </w:r>
      <w:r>
        <w:rPr>
          <w:spacing w:val="-3"/>
          <w:sz w:val="20"/>
        </w:rPr>
        <w:t> </w:t>
      </w:r>
      <w:r>
        <w:rPr>
          <w:sz w:val="20"/>
        </w:rPr>
        <w:t>recipient</w:t>
      </w:r>
      <w:r>
        <w:rPr>
          <w:spacing w:val="-3"/>
          <w:sz w:val="20"/>
        </w:rPr>
        <w:t> </w:t>
      </w:r>
      <w:r>
        <w:rPr>
          <w:sz w:val="20"/>
        </w:rPr>
        <w:t>may be required to repay the Department for the current value of the vessel/equipment in proportion to the total cost paid by the State. The Department may require two independent appraisals to determine the amount to be reimbursed to the Waterway Improvement Fund.</w:t>
      </w:r>
    </w:p>
    <w:p>
      <w:pPr>
        <w:pStyle w:val="BodyText"/>
        <w:spacing w:before="9"/>
        <w:rPr>
          <w:sz w:val="18"/>
        </w:rPr>
      </w:pPr>
    </w:p>
    <w:p>
      <w:pPr>
        <w:pStyle w:val="ListParagraph"/>
        <w:numPr>
          <w:ilvl w:val="0"/>
          <w:numId w:val="1"/>
        </w:numPr>
        <w:tabs>
          <w:tab w:pos="1300" w:val="left" w:leader="none"/>
        </w:tabs>
        <w:spacing w:line="228" w:lineRule="auto" w:before="0" w:after="0"/>
        <w:ind w:left="227" w:right="323" w:firstLine="720"/>
        <w:jc w:val="left"/>
        <w:rPr>
          <w:sz w:val="20"/>
        </w:rPr>
      </w:pPr>
      <w:r>
        <w:rPr>
          <w:sz w:val="20"/>
        </w:rPr>
        <w:t>If</w:t>
      </w:r>
      <w:r>
        <w:rPr>
          <w:spacing w:val="-1"/>
          <w:sz w:val="20"/>
        </w:rPr>
        <w:t> </w:t>
      </w:r>
      <w:r>
        <w:rPr>
          <w:sz w:val="20"/>
        </w:rPr>
        <w:t>the</w:t>
      </w:r>
      <w:r>
        <w:rPr>
          <w:spacing w:val="-2"/>
          <w:sz w:val="20"/>
        </w:rPr>
        <w:t> </w:t>
      </w:r>
      <w:r>
        <w:rPr>
          <w:sz w:val="20"/>
        </w:rPr>
        <w:t>Department</w:t>
      </w:r>
      <w:r>
        <w:rPr>
          <w:spacing w:val="-2"/>
          <w:sz w:val="20"/>
        </w:rPr>
        <w:t> </w:t>
      </w:r>
      <w:r>
        <w:rPr>
          <w:sz w:val="20"/>
        </w:rPr>
        <w:t>of</w:t>
      </w:r>
      <w:r>
        <w:rPr>
          <w:spacing w:val="-1"/>
          <w:sz w:val="20"/>
        </w:rPr>
        <w:t> </w:t>
      </w:r>
      <w:r>
        <w:rPr>
          <w:sz w:val="20"/>
        </w:rPr>
        <w:t>Natural</w:t>
      </w:r>
      <w:r>
        <w:rPr>
          <w:spacing w:val="-2"/>
          <w:sz w:val="20"/>
        </w:rPr>
        <w:t> </w:t>
      </w:r>
      <w:r>
        <w:rPr>
          <w:sz w:val="20"/>
        </w:rPr>
        <w:t>Resources</w:t>
      </w:r>
      <w:r>
        <w:rPr>
          <w:spacing w:val="-3"/>
          <w:sz w:val="20"/>
        </w:rPr>
        <w:t> </w:t>
      </w:r>
      <w:r>
        <w:rPr>
          <w:sz w:val="20"/>
        </w:rPr>
        <w:t>determines</w:t>
      </w:r>
      <w:r>
        <w:rPr>
          <w:spacing w:val="-3"/>
          <w:sz w:val="20"/>
        </w:rPr>
        <w:t> </w:t>
      </w:r>
      <w:r>
        <w:rPr>
          <w:sz w:val="20"/>
        </w:rPr>
        <w:t>that</w:t>
      </w:r>
      <w:r>
        <w:rPr>
          <w:spacing w:val="-5"/>
          <w:sz w:val="20"/>
        </w:rPr>
        <w:t> </w:t>
      </w:r>
      <w:r>
        <w:rPr>
          <w:sz w:val="20"/>
        </w:rPr>
        <w:t>the</w:t>
      </w:r>
      <w:r>
        <w:rPr>
          <w:spacing w:val="-2"/>
          <w:sz w:val="20"/>
        </w:rPr>
        <w:t> </w:t>
      </w:r>
      <w:r>
        <w:rPr>
          <w:sz w:val="20"/>
        </w:rPr>
        <w:t>recipient</w:t>
      </w:r>
      <w:r>
        <w:rPr>
          <w:spacing w:val="-2"/>
          <w:sz w:val="20"/>
        </w:rPr>
        <w:t> </w:t>
      </w:r>
      <w:r>
        <w:rPr>
          <w:sz w:val="20"/>
        </w:rPr>
        <w:t>failed</w:t>
      </w:r>
      <w:r>
        <w:rPr>
          <w:spacing w:val="-1"/>
          <w:sz w:val="20"/>
        </w:rPr>
        <w:t> </w:t>
      </w:r>
      <w:r>
        <w:rPr>
          <w:sz w:val="20"/>
        </w:rPr>
        <w:t>to</w:t>
      </w:r>
      <w:r>
        <w:rPr>
          <w:spacing w:val="-1"/>
          <w:sz w:val="20"/>
        </w:rPr>
        <w:t> </w:t>
      </w:r>
      <w:r>
        <w:rPr>
          <w:sz w:val="20"/>
        </w:rPr>
        <w:t>use</w:t>
      </w:r>
      <w:r>
        <w:rPr>
          <w:spacing w:val="-2"/>
          <w:sz w:val="20"/>
        </w:rPr>
        <w:t> </w:t>
      </w:r>
      <w:r>
        <w:rPr>
          <w:sz w:val="20"/>
        </w:rPr>
        <w:t>the</w:t>
      </w:r>
      <w:r>
        <w:rPr>
          <w:spacing w:val="-2"/>
          <w:sz w:val="20"/>
        </w:rPr>
        <w:t> </w:t>
      </w:r>
      <w:r>
        <w:rPr>
          <w:sz w:val="20"/>
        </w:rPr>
        <w:t>funds</w:t>
      </w:r>
      <w:r>
        <w:rPr>
          <w:spacing w:val="-3"/>
          <w:sz w:val="20"/>
        </w:rPr>
        <w:t> </w:t>
      </w:r>
      <w:r>
        <w:rPr>
          <w:sz w:val="20"/>
        </w:rPr>
        <w:t>from</w:t>
      </w:r>
      <w:r>
        <w:rPr>
          <w:spacing w:val="-1"/>
          <w:sz w:val="20"/>
        </w:rPr>
        <w:t> </w:t>
      </w:r>
      <w:r>
        <w:rPr>
          <w:sz w:val="20"/>
        </w:rPr>
        <w:t>this</w:t>
      </w:r>
      <w:r>
        <w:rPr>
          <w:spacing w:val="-3"/>
          <w:sz w:val="20"/>
        </w:rPr>
        <w:t> </w:t>
      </w:r>
      <w:r>
        <w:rPr>
          <w:sz w:val="20"/>
        </w:rPr>
        <w:t>grant</w:t>
      </w:r>
      <w:r>
        <w:rPr>
          <w:spacing w:val="-2"/>
          <w:sz w:val="20"/>
        </w:rPr>
        <w:t> </w:t>
      </w:r>
      <w:r>
        <w:rPr>
          <w:sz w:val="20"/>
        </w:rPr>
        <w:t>for</w:t>
      </w:r>
      <w:r>
        <w:rPr>
          <w:spacing w:val="-4"/>
          <w:sz w:val="20"/>
        </w:rPr>
        <w:t> </w:t>
      </w:r>
      <w:r>
        <w:rPr>
          <w:sz w:val="20"/>
        </w:rPr>
        <w:t>the purposes specified in Natural Resources Articles, §8-707(8), Annotated Code of Maryland, or that the facility, vessel or equipment acquired with funds from this grant has been negligently operated or maintained, or otherwise abused, then all monies paid by the State of Maryland will be reimbursed to the State’s Waterway Improvement Fund by the grant recipient.</w:t>
      </w:r>
    </w:p>
    <w:p>
      <w:pPr>
        <w:pStyle w:val="BodyText"/>
      </w:pPr>
    </w:p>
    <w:p>
      <w:pPr>
        <w:pStyle w:val="BodyText"/>
        <w:spacing w:before="2"/>
        <w:rPr>
          <w:sz w:val="17"/>
        </w:rPr>
      </w:pPr>
    </w:p>
    <w:tbl>
      <w:tblPr>
        <w:tblW w:w="0" w:type="auto"/>
        <w:jc w:val="left"/>
        <w:tblInd w:w="25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4994"/>
        <w:gridCol w:w="2740"/>
        <w:gridCol w:w="2450"/>
      </w:tblGrid>
      <w:tr>
        <w:trPr>
          <w:trHeight w:val="947" w:hRule="atLeast"/>
        </w:trPr>
        <w:tc>
          <w:tcPr>
            <w:tcW w:w="4994" w:type="dxa"/>
          </w:tcPr>
          <w:p>
            <w:pPr>
              <w:pStyle w:val="TableParagraph"/>
              <w:ind w:left="119"/>
              <w:rPr>
                <w:sz w:val="20"/>
              </w:rPr>
            </w:pPr>
            <w:r>
              <w:rPr>
                <w:sz w:val="20"/>
              </w:rPr>
              <w:t>*SIGNATURE</w:t>
            </w:r>
            <w:r>
              <w:rPr>
                <w:spacing w:val="-9"/>
                <w:sz w:val="20"/>
              </w:rPr>
              <w:t> </w:t>
            </w:r>
            <w:r>
              <w:rPr>
                <w:sz w:val="20"/>
              </w:rPr>
              <w:t>(Authorized</w:t>
            </w:r>
            <w:r>
              <w:rPr>
                <w:spacing w:val="-8"/>
                <w:sz w:val="20"/>
              </w:rPr>
              <w:t> </w:t>
            </w:r>
            <w:r>
              <w:rPr>
                <w:sz w:val="20"/>
              </w:rPr>
              <w:t>Local</w:t>
            </w:r>
            <w:r>
              <w:rPr>
                <w:spacing w:val="-9"/>
                <w:sz w:val="20"/>
              </w:rPr>
              <w:t> </w:t>
            </w:r>
            <w:r>
              <w:rPr>
                <w:sz w:val="20"/>
              </w:rPr>
              <w:t>Government</w:t>
            </w:r>
            <w:r>
              <w:rPr>
                <w:spacing w:val="-9"/>
                <w:sz w:val="20"/>
              </w:rPr>
              <w:t> </w:t>
            </w:r>
            <w:r>
              <w:rPr>
                <w:spacing w:val="-2"/>
                <w:sz w:val="20"/>
              </w:rPr>
              <w:t>Official):</w:t>
            </w:r>
          </w:p>
        </w:tc>
        <w:tc>
          <w:tcPr>
            <w:tcW w:w="2740" w:type="dxa"/>
          </w:tcPr>
          <w:p>
            <w:pPr>
              <w:pStyle w:val="TableParagraph"/>
              <w:ind w:left="120"/>
              <w:rPr>
                <w:sz w:val="20"/>
              </w:rPr>
            </w:pPr>
            <w:r>
              <w:rPr>
                <w:spacing w:val="-2"/>
                <w:sz w:val="20"/>
              </w:rPr>
              <w:t>TITLE:</w:t>
            </w:r>
          </w:p>
        </w:tc>
        <w:tc>
          <w:tcPr>
            <w:tcW w:w="2450" w:type="dxa"/>
          </w:tcPr>
          <w:p>
            <w:pPr>
              <w:pStyle w:val="TableParagraph"/>
              <w:ind w:left="120"/>
              <w:rPr>
                <w:sz w:val="20"/>
              </w:rPr>
            </w:pPr>
            <w:r>
              <w:rPr>
                <w:spacing w:val="-2"/>
                <w:sz w:val="20"/>
              </w:rPr>
              <w:t>DATE:</w:t>
            </w:r>
          </w:p>
        </w:tc>
      </w:tr>
      <w:tr>
        <w:trPr>
          <w:trHeight w:val="944" w:hRule="atLeast"/>
        </w:trPr>
        <w:tc>
          <w:tcPr>
            <w:tcW w:w="4994" w:type="dxa"/>
          </w:tcPr>
          <w:p>
            <w:pPr>
              <w:pStyle w:val="TableParagraph"/>
              <w:ind w:left="119"/>
              <w:rPr>
                <w:sz w:val="20"/>
              </w:rPr>
            </w:pPr>
            <w:r>
              <w:rPr>
                <w:sz w:val="20"/>
              </w:rPr>
              <w:t>SIGNATURE</w:t>
            </w:r>
            <w:r>
              <w:rPr>
                <w:spacing w:val="-10"/>
                <w:sz w:val="20"/>
              </w:rPr>
              <w:t> </w:t>
            </w:r>
            <w:r>
              <w:rPr>
                <w:sz w:val="20"/>
              </w:rPr>
              <w:t>(Authorized</w:t>
            </w:r>
            <w:r>
              <w:rPr>
                <w:spacing w:val="-9"/>
                <w:sz w:val="20"/>
              </w:rPr>
              <w:t> </w:t>
            </w:r>
            <w:r>
              <w:rPr>
                <w:sz w:val="20"/>
              </w:rPr>
              <w:t>Recipient</w:t>
            </w:r>
            <w:r>
              <w:rPr>
                <w:spacing w:val="-10"/>
                <w:sz w:val="20"/>
              </w:rPr>
              <w:t> </w:t>
            </w:r>
            <w:r>
              <w:rPr>
                <w:spacing w:val="-2"/>
                <w:sz w:val="20"/>
              </w:rPr>
              <w:t>Official):</w:t>
            </w:r>
          </w:p>
        </w:tc>
        <w:tc>
          <w:tcPr>
            <w:tcW w:w="2740" w:type="dxa"/>
          </w:tcPr>
          <w:p>
            <w:pPr>
              <w:pStyle w:val="TableParagraph"/>
              <w:ind w:left="120"/>
              <w:rPr>
                <w:sz w:val="20"/>
              </w:rPr>
            </w:pPr>
            <w:r>
              <w:rPr>
                <w:spacing w:val="-2"/>
                <w:sz w:val="20"/>
              </w:rPr>
              <w:t>TITLE:</w:t>
            </w:r>
          </w:p>
        </w:tc>
        <w:tc>
          <w:tcPr>
            <w:tcW w:w="2450" w:type="dxa"/>
          </w:tcPr>
          <w:p>
            <w:pPr>
              <w:pStyle w:val="TableParagraph"/>
              <w:ind w:left="120"/>
              <w:rPr>
                <w:sz w:val="20"/>
              </w:rPr>
            </w:pPr>
            <w:r>
              <w:rPr>
                <w:spacing w:val="-2"/>
                <w:sz w:val="20"/>
              </w:rPr>
              <w:t>DATE:</w:t>
            </w:r>
          </w:p>
        </w:tc>
      </w:tr>
    </w:tbl>
    <w:p>
      <w:pPr>
        <w:pStyle w:val="BodyText"/>
        <w:spacing w:before="2"/>
        <w:rPr>
          <w:sz w:val="9"/>
        </w:rPr>
      </w:pPr>
    </w:p>
    <w:p>
      <w:pPr>
        <w:tabs>
          <w:tab w:pos="947" w:val="left" w:leader="none"/>
        </w:tabs>
        <w:spacing w:line="228" w:lineRule="auto" w:before="100"/>
        <w:ind w:left="227" w:right="1311" w:firstLine="0"/>
        <w:jc w:val="left"/>
        <w:rPr>
          <w:sz w:val="19"/>
        </w:rPr>
      </w:pPr>
      <w:r>
        <w:rPr>
          <w:spacing w:val="-10"/>
          <w:sz w:val="19"/>
        </w:rPr>
        <w:t>*</w:t>
      </w:r>
      <w:r>
        <w:rPr>
          <w:sz w:val="19"/>
        </w:rPr>
        <w:tab/>
        <w:t>A</w:t>
      </w:r>
      <w:r>
        <w:rPr>
          <w:spacing w:val="-3"/>
          <w:sz w:val="19"/>
        </w:rPr>
        <w:t> </w:t>
      </w:r>
      <w:r>
        <w:rPr>
          <w:sz w:val="19"/>
        </w:rPr>
        <w:t>local</w:t>
      </w:r>
      <w:r>
        <w:rPr>
          <w:spacing w:val="-3"/>
          <w:sz w:val="19"/>
        </w:rPr>
        <w:t> </w:t>
      </w:r>
      <w:r>
        <w:rPr>
          <w:sz w:val="19"/>
        </w:rPr>
        <w:t>government</w:t>
      </w:r>
      <w:r>
        <w:rPr>
          <w:spacing w:val="-3"/>
          <w:sz w:val="19"/>
        </w:rPr>
        <w:t> </w:t>
      </w:r>
      <w:r>
        <w:rPr>
          <w:sz w:val="19"/>
        </w:rPr>
        <w:t>official</w:t>
      </w:r>
      <w:r>
        <w:rPr>
          <w:spacing w:val="-3"/>
          <w:sz w:val="19"/>
        </w:rPr>
        <w:t> </w:t>
      </w:r>
      <w:r>
        <w:rPr>
          <w:sz w:val="19"/>
        </w:rPr>
        <w:t>signature</w:t>
      </w:r>
      <w:r>
        <w:rPr>
          <w:spacing w:val="-3"/>
          <w:sz w:val="19"/>
        </w:rPr>
        <w:t> </w:t>
      </w:r>
      <w:r>
        <w:rPr>
          <w:sz w:val="19"/>
        </w:rPr>
        <w:t>is</w:t>
      </w:r>
      <w:r>
        <w:rPr>
          <w:spacing w:val="-2"/>
          <w:sz w:val="19"/>
        </w:rPr>
        <w:t> </w:t>
      </w:r>
      <w:r>
        <w:rPr>
          <w:sz w:val="19"/>
        </w:rPr>
        <w:t>required</w:t>
      </w:r>
      <w:r>
        <w:rPr>
          <w:spacing w:val="-2"/>
          <w:sz w:val="19"/>
        </w:rPr>
        <w:t> </w:t>
      </w:r>
      <w:r>
        <w:rPr>
          <w:sz w:val="19"/>
        </w:rPr>
        <w:t>for</w:t>
      </w:r>
      <w:r>
        <w:rPr>
          <w:spacing w:val="-4"/>
          <w:sz w:val="19"/>
        </w:rPr>
        <w:t> </w:t>
      </w:r>
      <w:r>
        <w:rPr>
          <w:sz w:val="19"/>
        </w:rPr>
        <w:t>all</w:t>
      </w:r>
      <w:r>
        <w:rPr>
          <w:spacing w:val="-3"/>
          <w:sz w:val="19"/>
        </w:rPr>
        <w:t> </w:t>
      </w:r>
      <w:r>
        <w:rPr>
          <w:sz w:val="19"/>
        </w:rPr>
        <w:t>local</w:t>
      </w:r>
      <w:r>
        <w:rPr>
          <w:spacing w:val="-3"/>
          <w:sz w:val="19"/>
        </w:rPr>
        <w:t> </w:t>
      </w:r>
      <w:r>
        <w:rPr>
          <w:sz w:val="19"/>
        </w:rPr>
        <w:t>volunteer</w:t>
      </w:r>
      <w:r>
        <w:rPr>
          <w:spacing w:val="-4"/>
          <w:sz w:val="19"/>
        </w:rPr>
        <w:t> </w:t>
      </w:r>
      <w:r>
        <w:rPr>
          <w:sz w:val="19"/>
        </w:rPr>
        <w:t>fire</w:t>
      </w:r>
      <w:r>
        <w:rPr>
          <w:spacing w:val="-3"/>
          <w:sz w:val="19"/>
        </w:rPr>
        <w:t> </w:t>
      </w:r>
      <w:r>
        <w:rPr>
          <w:sz w:val="19"/>
        </w:rPr>
        <w:t>departments</w:t>
      </w:r>
      <w:r>
        <w:rPr>
          <w:spacing w:val="-2"/>
          <w:sz w:val="19"/>
        </w:rPr>
        <w:t> </w:t>
      </w:r>
      <w:r>
        <w:rPr>
          <w:sz w:val="19"/>
        </w:rPr>
        <w:t>or</w:t>
      </w:r>
      <w:r>
        <w:rPr>
          <w:spacing w:val="-4"/>
          <w:sz w:val="19"/>
        </w:rPr>
        <w:t> </w:t>
      </w:r>
      <w:r>
        <w:rPr>
          <w:sz w:val="19"/>
        </w:rPr>
        <w:t>emergency</w:t>
      </w:r>
      <w:r>
        <w:rPr>
          <w:spacing w:val="-2"/>
          <w:sz w:val="19"/>
        </w:rPr>
        <w:t> </w:t>
      </w:r>
      <w:r>
        <w:rPr>
          <w:sz w:val="19"/>
        </w:rPr>
        <w:t>response </w:t>
      </w:r>
      <w:r>
        <w:rPr>
          <w:spacing w:val="-2"/>
          <w:sz w:val="19"/>
        </w:rPr>
        <w:t>organizations.</w:t>
      </w:r>
    </w:p>
    <w:p>
      <w:pPr>
        <w:pStyle w:val="BodyText"/>
      </w:pPr>
    </w:p>
    <w:p>
      <w:pPr>
        <w:pStyle w:val="BodyText"/>
      </w:pPr>
    </w:p>
    <w:p>
      <w:pPr>
        <w:pStyle w:val="BodyText"/>
      </w:pPr>
    </w:p>
    <w:p>
      <w:pPr>
        <w:spacing w:before="132"/>
        <w:ind w:left="227" w:right="0" w:firstLine="0"/>
        <w:jc w:val="left"/>
        <w:rPr>
          <w:sz w:val="19"/>
        </w:rPr>
      </w:pPr>
      <w:r>
        <w:rPr>
          <w:sz w:val="19"/>
        </w:rPr>
        <w:t>Revised</w:t>
      </w:r>
      <w:r>
        <w:rPr>
          <w:spacing w:val="-6"/>
          <w:sz w:val="19"/>
        </w:rPr>
        <w:t> </w:t>
      </w:r>
      <w:r>
        <w:rPr>
          <w:sz w:val="19"/>
        </w:rPr>
        <w:t>May</w:t>
      </w:r>
      <w:r>
        <w:rPr>
          <w:spacing w:val="-7"/>
          <w:sz w:val="19"/>
        </w:rPr>
        <w:t> </w:t>
      </w:r>
      <w:r>
        <w:rPr>
          <w:spacing w:val="-4"/>
          <w:sz w:val="19"/>
        </w:rPr>
        <w:t>2023</w:t>
      </w:r>
    </w:p>
    <w:sectPr>
      <w:type w:val="continuous"/>
      <w:pgSz w:w="12240" w:h="15840"/>
      <w:pgMar w:top="920" w:bottom="280" w:left="780" w:right="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227" w:hanging="353"/>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1272" w:hanging="353"/>
      </w:pPr>
      <w:rPr>
        <w:rFonts w:hint="default"/>
        <w:lang w:val="en-US" w:eastAsia="en-US" w:bidi="ar-SA"/>
      </w:rPr>
    </w:lvl>
    <w:lvl w:ilvl="2">
      <w:start w:val="0"/>
      <w:numFmt w:val="bullet"/>
      <w:lvlText w:val="•"/>
      <w:lvlJc w:val="left"/>
      <w:pPr>
        <w:ind w:left="2324" w:hanging="353"/>
      </w:pPr>
      <w:rPr>
        <w:rFonts w:hint="default"/>
        <w:lang w:val="en-US" w:eastAsia="en-US" w:bidi="ar-SA"/>
      </w:rPr>
    </w:lvl>
    <w:lvl w:ilvl="3">
      <w:start w:val="0"/>
      <w:numFmt w:val="bullet"/>
      <w:lvlText w:val="•"/>
      <w:lvlJc w:val="left"/>
      <w:pPr>
        <w:ind w:left="3376" w:hanging="353"/>
      </w:pPr>
      <w:rPr>
        <w:rFonts w:hint="default"/>
        <w:lang w:val="en-US" w:eastAsia="en-US" w:bidi="ar-SA"/>
      </w:rPr>
    </w:lvl>
    <w:lvl w:ilvl="4">
      <w:start w:val="0"/>
      <w:numFmt w:val="bullet"/>
      <w:lvlText w:val="•"/>
      <w:lvlJc w:val="left"/>
      <w:pPr>
        <w:ind w:left="4428" w:hanging="353"/>
      </w:pPr>
      <w:rPr>
        <w:rFonts w:hint="default"/>
        <w:lang w:val="en-US" w:eastAsia="en-US" w:bidi="ar-SA"/>
      </w:rPr>
    </w:lvl>
    <w:lvl w:ilvl="5">
      <w:start w:val="0"/>
      <w:numFmt w:val="bullet"/>
      <w:lvlText w:val="•"/>
      <w:lvlJc w:val="left"/>
      <w:pPr>
        <w:ind w:left="5480" w:hanging="353"/>
      </w:pPr>
      <w:rPr>
        <w:rFonts w:hint="default"/>
        <w:lang w:val="en-US" w:eastAsia="en-US" w:bidi="ar-SA"/>
      </w:rPr>
    </w:lvl>
    <w:lvl w:ilvl="6">
      <w:start w:val="0"/>
      <w:numFmt w:val="bullet"/>
      <w:lvlText w:val="•"/>
      <w:lvlJc w:val="left"/>
      <w:pPr>
        <w:ind w:left="6532" w:hanging="353"/>
      </w:pPr>
      <w:rPr>
        <w:rFonts w:hint="default"/>
        <w:lang w:val="en-US" w:eastAsia="en-US" w:bidi="ar-SA"/>
      </w:rPr>
    </w:lvl>
    <w:lvl w:ilvl="7">
      <w:start w:val="0"/>
      <w:numFmt w:val="bullet"/>
      <w:lvlText w:val="•"/>
      <w:lvlJc w:val="left"/>
      <w:pPr>
        <w:ind w:left="7584" w:hanging="353"/>
      </w:pPr>
      <w:rPr>
        <w:rFonts w:hint="default"/>
        <w:lang w:val="en-US" w:eastAsia="en-US" w:bidi="ar-SA"/>
      </w:rPr>
    </w:lvl>
    <w:lvl w:ilvl="8">
      <w:start w:val="0"/>
      <w:numFmt w:val="bullet"/>
      <w:lvlText w:val="•"/>
      <w:lvlJc w:val="left"/>
      <w:pPr>
        <w:ind w:left="8636" w:hanging="353"/>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0"/>
      <w:szCs w:val="20"/>
      <w:lang w:val="en-US" w:eastAsia="en-US" w:bidi="ar-SA"/>
    </w:rPr>
  </w:style>
  <w:style w:styleId="Title" w:type="paragraph">
    <w:name w:val="Title"/>
    <w:basedOn w:val="Normal"/>
    <w:uiPriority w:val="1"/>
    <w:qFormat/>
    <w:pPr>
      <w:ind w:left="2429" w:right="2486"/>
      <w:jc w:val="center"/>
    </w:pPr>
    <w:rPr>
      <w:rFonts w:ascii="Times New Roman" w:hAnsi="Times New Roman" w:eastAsia="Times New Roman" w:cs="Times New Roman"/>
      <w:b/>
      <w:bCs/>
      <w:sz w:val="28"/>
      <w:szCs w:val="28"/>
      <w:lang w:val="en-US" w:eastAsia="en-US" w:bidi="ar-SA"/>
    </w:rPr>
  </w:style>
  <w:style w:styleId="ListParagraph" w:type="paragraph">
    <w:name w:val="List Paragraph"/>
    <w:basedOn w:val="Normal"/>
    <w:uiPriority w:val="1"/>
    <w:qFormat/>
    <w:pPr>
      <w:ind w:left="227" w:right="284" w:firstLine="719"/>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spacing w:before="109"/>
      <w:ind w:left="107"/>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theme" Target="theme/theme1.xml"/><Relationship Id="rId7" Type="http://schemas.openxmlformats.org/officeDocument/2006/relationships/customXml" Target="../customXml/item2.xml"/><Relationship Id="rId2"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BF20B5F903E3041940B93C65D726D5C" ma:contentTypeVersion="4" ma:contentTypeDescription="Create a new document." ma:contentTypeScope="" ma:versionID="5f32562c0a256b37aa9e2a048cfc8707">
  <xsd:schema xmlns:xsd="http://www.w3.org/2001/XMLSchema" xmlns:xs="http://www.w3.org/2001/XMLSchema" xmlns:p="http://schemas.microsoft.com/office/2006/metadata/properties" xmlns:ns1="http://schemas.microsoft.com/sharepoint/v3" targetNamespace="http://schemas.microsoft.com/office/2006/metadata/properties" ma:root="true" ma:fieldsID="bff1912dda2c34800ae3d5e8677634f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055AAC3-AFC6-4F10-94C3-5063F48782B5}"/>
</file>

<file path=customXml/itemProps2.xml><?xml version="1.0" encoding="utf-8"?>
<ds:datastoreItem xmlns:ds="http://schemas.openxmlformats.org/officeDocument/2006/customXml" ds:itemID="{D5C57CA8-9AA6-4417-A516-55C96B549C37}"/>
</file>

<file path=customXml/itemProps3.xml><?xml version="1.0" encoding="utf-8"?>
<ds:datastoreItem xmlns:ds="http://schemas.openxmlformats.org/officeDocument/2006/customXml" ds:itemID="{31C01095-2E8F-4DE4-A02C-E213B4C7EFCC}"/>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WIF MFFR (revision May 2023)</dc:title>
  <dc:subject>WIF MFFR (revision May 2023)</dc:subject>
  <dc:creator>Maryland DNR</dc:creator>
  <dcterms:created xsi:type="dcterms:W3CDTF">2023-06-14T15:07:56Z</dcterms:created>
  <dcterms:modified xsi:type="dcterms:W3CDTF">2023-06-14T15:07:56Z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2023-05-25T00:00:00Z</vt:filetime>
  </property>
  <property fmtid="{D5CDD505-2E9C-101B-9397-08002B2CF9AE}" pid="3" name="Creator">
    <vt:lpwstr>Acrobat PDFMaker 23 for Word</vt:lpwstr>
  </property>
  <property fmtid="{D5CDD505-2E9C-101B-9397-08002B2CF9AE}" pid="4" name="LastSaved">
    <vt:filetime>2023-06-14T00:00:00Z</vt:filetime>
  </property>
  <property fmtid="{D5CDD505-2E9C-101B-9397-08002B2CF9AE}" pid="5" name="Producer">
    <vt:lpwstr>Adobe PDF Library 23.1.206</vt:lpwstr>
  </property>
  <property fmtid="{D5CDD505-2E9C-101B-9397-08002B2CF9AE}" pid="6" name="tagPub">
    <vt:lpwstr>Publications</vt:lpwstr>
  </property>
  <property fmtid="{D5CDD505-2E9C-101B-9397-08002B2CF9AE}" pid="7" name="ContentTypeId">
    <vt:lpwstr>0x0101001BF20B5F903E3041940B93C65D726D5C</vt:lpwstr>
  </property>
</Properties>
</file>